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3" w:rsidRPr="00FE7D90" w:rsidRDefault="000B1133" w:rsidP="000B113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Pr="00FE7D90">
        <w:rPr>
          <w:lang w:val="uk-UA"/>
        </w:rPr>
        <w:t>Затверджено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Рішенням Спостережної ради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Кредитної спілки « ЦЕНТР-КРЕДИТ»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</w:t>
      </w:r>
      <w:r>
        <w:rPr>
          <w:lang w:val="uk-UA"/>
        </w:rPr>
        <w:t xml:space="preserve">Протокол № б/н від </w:t>
      </w:r>
      <w:r w:rsidR="009F2E4A">
        <w:rPr>
          <w:lang w:val="uk-UA"/>
        </w:rPr>
        <w:t>17</w:t>
      </w:r>
      <w:r w:rsidRPr="00FE7D90">
        <w:rPr>
          <w:lang w:val="uk-UA"/>
        </w:rPr>
        <w:t>.0</w:t>
      </w:r>
      <w:r w:rsidR="009F2E4A">
        <w:rPr>
          <w:lang w:val="uk-UA"/>
        </w:rPr>
        <w:t>2</w:t>
      </w:r>
      <w:r w:rsidRPr="00FE7D90">
        <w:rPr>
          <w:lang w:val="uk-UA"/>
        </w:rPr>
        <w:t>.202</w:t>
      </w:r>
      <w:r w:rsidR="009F2E4A">
        <w:rPr>
          <w:lang w:val="uk-UA"/>
        </w:rPr>
        <w:t>1</w:t>
      </w:r>
      <w:r w:rsidRPr="00FE7D90">
        <w:rPr>
          <w:lang w:val="uk-UA"/>
        </w:rPr>
        <w:t xml:space="preserve"> р.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Голова Спостережної ради</w:t>
      </w:r>
    </w:p>
    <w:p w:rsidR="000B1133" w:rsidRPr="00FE7D90" w:rsidRDefault="000B1133" w:rsidP="000B1133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 _______________  </w:t>
      </w:r>
      <w:r w:rsidR="009F2E4A">
        <w:rPr>
          <w:lang w:val="uk-UA"/>
        </w:rPr>
        <w:t>В.А. Гаврилюк</w:t>
      </w:r>
    </w:p>
    <w:p w:rsidR="000B1133" w:rsidRDefault="000B1133" w:rsidP="00684E65">
      <w:pPr>
        <w:jc w:val="center"/>
        <w:rPr>
          <w:rFonts w:cstheme="minorHAnsi"/>
          <w:sz w:val="24"/>
          <w:szCs w:val="24"/>
          <w:lang w:val="uk-UA"/>
        </w:rPr>
      </w:pPr>
    </w:p>
    <w:p w:rsidR="00A25250" w:rsidRPr="00573B93" w:rsidRDefault="009941B5" w:rsidP="00684E65">
      <w:pPr>
        <w:jc w:val="center"/>
        <w:rPr>
          <w:rFonts w:cstheme="minorHAnsi"/>
          <w:sz w:val="24"/>
          <w:szCs w:val="24"/>
          <w:lang w:val="uk-UA"/>
        </w:rPr>
      </w:pPr>
      <w:r w:rsidRPr="00573B93">
        <w:rPr>
          <w:rFonts w:cstheme="minorHAnsi"/>
          <w:sz w:val="24"/>
          <w:szCs w:val="24"/>
          <w:lang w:val="uk-UA"/>
        </w:rPr>
        <w:t xml:space="preserve">Додаток 2 до протоколу засідання Спостережної ради від </w:t>
      </w:r>
      <w:r w:rsidR="009F2E4A">
        <w:rPr>
          <w:rFonts w:cstheme="minorHAnsi"/>
          <w:sz w:val="24"/>
          <w:szCs w:val="24"/>
          <w:lang w:val="uk-UA"/>
        </w:rPr>
        <w:t>17</w:t>
      </w:r>
      <w:r w:rsidRPr="00573B93">
        <w:rPr>
          <w:rFonts w:cstheme="minorHAnsi"/>
          <w:sz w:val="24"/>
          <w:szCs w:val="24"/>
          <w:lang w:val="uk-UA"/>
        </w:rPr>
        <w:t>.0</w:t>
      </w:r>
      <w:r w:rsidR="009F2E4A">
        <w:rPr>
          <w:rFonts w:cstheme="minorHAnsi"/>
          <w:sz w:val="24"/>
          <w:szCs w:val="24"/>
          <w:lang w:val="uk-UA"/>
        </w:rPr>
        <w:t>2</w:t>
      </w:r>
      <w:r w:rsidRPr="00573B93">
        <w:rPr>
          <w:rFonts w:cstheme="minorHAnsi"/>
          <w:sz w:val="24"/>
          <w:szCs w:val="24"/>
          <w:lang w:val="uk-UA"/>
        </w:rPr>
        <w:t>.202</w:t>
      </w:r>
      <w:r w:rsidR="009F2E4A">
        <w:rPr>
          <w:rFonts w:cstheme="minorHAnsi"/>
          <w:sz w:val="24"/>
          <w:szCs w:val="24"/>
          <w:lang w:val="uk-UA"/>
        </w:rPr>
        <w:t>1 р.</w:t>
      </w:r>
    </w:p>
    <w:p w:rsidR="009941B5" w:rsidRPr="00573B93" w:rsidRDefault="009941B5">
      <w:pPr>
        <w:rPr>
          <w:rFonts w:cstheme="minorHAnsi"/>
          <w:sz w:val="24"/>
          <w:szCs w:val="24"/>
          <w:lang w:val="uk-UA"/>
        </w:rPr>
      </w:pPr>
      <w:r w:rsidRPr="00573B93">
        <w:rPr>
          <w:rFonts w:cstheme="minorHAnsi"/>
          <w:sz w:val="24"/>
          <w:szCs w:val="24"/>
          <w:lang w:val="uk-UA"/>
        </w:rPr>
        <w:t>Річні процентні ставки за підвидами внесків (вкладів) членів кредитної спілки на депозитні рахунки</w:t>
      </w:r>
    </w:p>
    <w:p w:rsidR="001F0E45" w:rsidRPr="00573B93" w:rsidRDefault="001F0E45">
      <w:pPr>
        <w:rPr>
          <w:rFonts w:cstheme="minorHAnsi"/>
          <w:sz w:val="24"/>
          <w:szCs w:val="24"/>
          <w:lang w:val="uk-UA"/>
        </w:rPr>
      </w:pPr>
      <w:r w:rsidRPr="00573B93">
        <w:rPr>
          <w:rFonts w:cstheme="minorHAnsi"/>
          <w:sz w:val="24"/>
          <w:szCs w:val="24"/>
          <w:lang w:val="uk-UA"/>
        </w:rPr>
        <w:t>На вимогу:</w:t>
      </w:r>
    </w:p>
    <w:tbl>
      <w:tblPr>
        <w:tblW w:w="826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1276"/>
        <w:gridCol w:w="1843"/>
        <w:gridCol w:w="1276"/>
        <w:gridCol w:w="1161"/>
      </w:tblGrid>
      <w:tr w:rsidR="00D70E1E" w:rsidRPr="00573B93" w:rsidTr="000A0CDA">
        <w:trPr>
          <w:cantSplit/>
          <w:trHeight w:val="1134"/>
        </w:trPr>
        <w:tc>
          <w:tcPr>
            <w:tcW w:w="2711" w:type="dxa"/>
          </w:tcPr>
          <w:p w:rsidR="00D70E1E" w:rsidRPr="00573B93" w:rsidRDefault="00D70E1E" w:rsidP="001F0E45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 xml:space="preserve">Строк </w:t>
            </w:r>
          </w:p>
          <w:p w:rsidR="00D70E1E" w:rsidRPr="00573B93" w:rsidRDefault="00D70E1E" w:rsidP="001F0E45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внеску (вкладу)</w:t>
            </w:r>
          </w:p>
        </w:tc>
        <w:tc>
          <w:tcPr>
            <w:tcW w:w="1276" w:type="dxa"/>
          </w:tcPr>
          <w:p w:rsidR="00D70E1E" w:rsidRPr="00573B93" w:rsidRDefault="00D70E1E" w:rsidP="001F0E45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Процентна ставка</w:t>
            </w:r>
          </w:p>
          <w:p w:rsidR="00D70E1E" w:rsidRPr="00573B93" w:rsidRDefault="00D70E1E" w:rsidP="001F0E45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(річна)</w:t>
            </w:r>
          </w:p>
        </w:tc>
        <w:tc>
          <w:tcPr>
            <w:tcW w:w="1843" w:type="dxa"/>
            <w:vAlign w:val="center"/>
          </w:tcPr>
          <w:p w:rsidR="00D70E1E" w:rsidRPr="00573B93" w:rsidRDefault="00D70E1E" w:rsidP="000A0CDA">
            <w:pPr>
              <w:pStyle w:val="a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 xml:space="preserve">Спосіб виплати  </w:t>
            </w:r>
            <w:r w:rsidR="000A0CDA" w:rsidRPr="00573B93">
              <w:rPr>
                <w:lang w:val="uk-UA"/>
              </w:rPr>
              <w:t>процентів</w:t>
            </w:r>
          </w:p>
        </w:tc>
        <w:tc>
          <w:tcPr>
            <w:tcW w:w="1276" w:type="dxa"/>
            <w:textDirection w:val="btLr"/>
            <w:vAlign w:val="center"/>
          </w:tcPr>
          <w:p w:rsidR="00D70E1E" w:rsidRPr="00573B93" w:rsidRDefault="00D70E1E" w:rsidP="001F0E45">
            <w:pPr>
              <w:pStyle w:val="a3"/>
              <w:ind w:left="113" w:right="11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 xml:space="preserve">Режим </w:t>
            </w:r>
            <w:proofErr w:type="spellStart"/>
            <w:r w:rsidRPr="00573B93">
              <w:rPr>
                <w:lang w:val="uk-UA"/>
              </w:rPr>
              <w:t>довнесення</w:t>
            </w:r>
            <w:proofErr w:type="spellEnd"/>
            <w:r w:rsidRPr="00573B93">
              <w:rPr>
                <w:lang w:val="uk-UA"/>
              </w:rPr>
              <w:t xml:space="preserve"> суми внеску</w:t>
            </w:r>
          </w:p>
        </w:tc>
        <w:tc>
          <w:tcPr>
            <w:tcW w:w="1161" w:type="dxa"/>
            <w:textDirection w:val="btLr"/>
            <w:vAlign w:val="center"/>
          </w:tcPr>
          <w:p w:rsidR="00D70E1E" w:rsidRPr="00573B93" w:rsidRDefault="00D70E1E" w:rsidP="001F0E45">
            <w:pPr>
              <w:pStyle w:val="a3"/>
              <w:ind w:left="113" w:right="11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>Режим зняття частини внеску</w:t>
            </w:r>
          </w:p>
        </w:tc>
      </w:tr>
      <w:tr w:rsidR="00D70E1E" w:rsidRPr="00573B93" w:rsidTr="00684E65">
        <w:trPr>
          <w:trHeight w:val="983"/>
        </w:trPr>
        <w:tc>
          <w:tcPr>
            <w:tcW w:w="2711" w:type="dxa"/>
          </w:tcPr>
          <w:p w:rsidR="00D70E1E" w:rsidRPr="00573B93" w:rsidRDefault="00D70E1E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Від 1 до 60 місяців (включно)</w:t>
            </w:r>
          </w:p>
        </w:tc>
        <w:tc>
          <w:tcPr>
            <w:tcW w:w="1276" w:type="dxa"/>
          </w:tcPr>
          <w:p w:rsidR="00D70E1E" w:rsidRPr="00573B93" w:rsidRDefault="00062A4A" w:rsidP="009F2E4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</w:t>
            </w:r>
            <w:r w:rsidR="009F2E4A">
              <w:rPr>
                <w:rFonts w:cstheme="minorHAnsi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D70E1E" w:rsidRPr="00573B93" w:rsidRDefault="00D70E1E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276" w:type="dxa"/>
          </w:tcPr>
          <w:p w:rsidR="00D70E1E" w:rsidRPr="00573B93" w:rsidRDefault="00D70E1E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61" w:type="dxa"/>
          </w:tcPr>
          <w:p w:rsidR="00D70E1E" w:rsidRPr="00573B93" w:rsidRDefault="00D70E1E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так</w:t>
            </w:r>
          </w:p>
        </w:tc>
      </w:tr>
    </w:tbl>
    <w:p w:rsidR="009941B5" w:rsidRPr="00573B93" w:rsidRDefault="009941B5" w:rsidP="001F0E45">
      <w:pPr>
        <w:rPr>
          <w:rFonts w:cstheme="minorHAnsi"/>
          <w:b/>
          <w:sz w:val="24"/>
          <w:szCs w:val="24"/>
          <w:lang w:val="uk-UA"/>
        </w:rPr>
      </w:pPr>
    </w:p>
    <w:p w:rsidR="007020B8" w:rsidRPr="00573B93" w:rsidRDefault="007020B8" w:rsidP="001F0E45">
      <w:pPr>
        <w:rPr>
          <w:rFonts w:cstheme="minorHAnsi"/>
          <w:sz w:val="24"/>
          <w:szCs w:val="24"/>
          <w:lang w:val="uk-UA"/>
        </w:rPr>
      </w:pPr>
      <w:r w:rsidRPr="00573B93">
        <w:rPr>
          <w:rFonts w:cstheme="minorHAnsi"/>
          <w:sz w:val="24"/>
          <w:szCs w:val="24"/>
          <w:lang w:val="uk-UA"/>
        </w:rPr>
        <w:t>Строкові: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3"/>
        <w:gridCol w:w="1276"/>
        <w:gridCol w:w="1843"/>
        <w:gridCol w:w="1276"/>
        <w:gridCol w:w="1134"/>
      </w:tblGrid>
      <w:tr w:rsidR="00D70E1E" w:rsidRPr="00573B93" w:rsidTr="00062A4A">
        <w:trPr>
          <w:trHeight w:val="1120"/>
        </w:trPr>
        <w:tc>
          <w:tcPr>
            <w:tcW w:w="2683" w:type="dxa"/>
          </w:tcPr>
          <w:p w:rsidR="00D70E1E" w:rsidRPr="00573B93" w:rsidRDefault="00D70E1E" w:rsidP="00EF57CE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 xml:space="preserve">Строк </w:t>
            </w:r>
          </w:p>
          <w:p w:rsidR="00D70E1E" w:rsidRPr="00573B93" w:rsidRDefault="00D70E1E" w:rsidP="00EF57CE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внеску (вкладу)</w:t>
            </w:r>
          </w:p>
        </w:tc>
        <w:tc>
          <w:tcPr>
            <w:tcW w:w="1276" w:type="dxa"/>
          </w:tcPr>
          <w:p w:rsidR="00D70E1E" w:rsidRPr="00573B93" w:rsidRDefault="00D70E1E" w:rsidP="00D70E1E">
            <w:pPr>
              <w:pStyle w:val="a3"/>
              <w:rPr>
                <w:lang w:val="uk-UA"/>
              </w:rPr>
            </w:pPr>
            <w:r w:rsidRPr="00573B93">
              <w:rPr>
                <w:lang w:val="uk-UA"/>
              </w:rPr>
              <w:t>Процентна ставка</w:t>
            </w:r>
          </w:p>
          <w:p w:rsidR="00D70E1E" w:rsidRPr="00573B93" w:rsidRDefault="00D70E1E" w:rsidP="00D70E1E">
            <w:pPr>
              <w:rPr>
                <w:rFonts w:cstheme="minorHAnsi"/>
                <w:lang w:val="uk-UA"/>
              </w:rPr>
            </w:pPr>
            <w:r w:rsidRPr="00573B93">
              <w:rPr>
                <w:lang w:val="uk-UA"/>
              </w:rPr>
              <w:t>(річна</w:t>
            </w:r>
            <w:r w:rsidR="00062A4A">
              <w:rPr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D70E1E" w:rsidRPr="00573B93" w:rsidRDefault="000A0CDA" w:rsidP="000A0CDA">
            <w:pPr>
              <w:pStyle w:val="a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>Спосіб виплати  процентів</w:t>
            </w:r>
          </w:p>
        </w:tc>
        <w:tc>
          <w:tcPr>
            <w:tcW w:w="1276" w:type="dxa"/>
            <w:textDirection w:val="btLr"/>
            <w:vAlign w:val="center"/>
          </w:tcPr>
          <w:p w:rsidR="00D70E1E" w:rsidRPr="00573B93" w:rsidRDefault="00D70E1E" w:rsidP="00EF57CE">
            <w:pPr>
              <w:pStyle w:val="a3"/>
              <w:ind w:left="113" w:right="11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 xml:space="preserve">Режим </w:t>
            </w:r>
            <w:proofErr w:type="spellStart"/>
            <w:r w:rsidRPr="00573B93">
              <w:rPr>
                <w:lang w:val="uk-UA"/>
              </w:rPr>
              <w:t>довнесення</w:t>
            </w:r>
            <w:proofErr w:type="spellEnd"/>
            <w:r w:rsidRPr="00573B93">
              <w:rPr>
                <w:lang w:val="uk-UA"/>
              </w:rPr>
              <w:t xml:space="preserve"> суми внеску</w:t>
            </w:r>
          </w:p>
        </w:tc>
        <w:tc>
          <w:tcPr>
            <w:tcW w:w="1134" w:type="dxa"/>
            <w:textDirection w:val="btLr"/>
            <w:vAlign w:val="center"/>
          </w:tcPr>
          <w:p w:rsidR="00D70E1E" w:rsidRPr="00573B93" w:rsidRDefault="00D70E1E" w:rsidP="00EF57CE">
            <w:pPr>
              <w:pStyle w:val="a3"/>
              <w:ind w:left="113" w:right="113"/>
              <w:jc w:val="center"/>
              <w:rPr>
                <w:lang w:val="uk-UA"/>
              </w:rPr>
            </w:pPr>
            <w:r w:rsidRPr="00573B93">
              <w:rPr>
                <w:lang w:val="uk-UA"/>
              </w:rPr>
              <w:t>Режим зняття частини внеску</w:t>
            </w:r>
          </w:p>
        </w:tc>
      </w:tr>
      <w:tr w:rsidR="00D70E1E" w:rsidRPr="00573B93" w:rsidTr="00684E65">
        <w:trPr>
          <w:trHeight w:val="766"/>
        </w:trPr>
        <w:tc>
          <w:tcPr>
            <w:tcW w:w="2683" w:type="dxa"/>
          </w:tcPr>
          <w:p w:rsidR="00D70E1E" w:rsidRPr="00573B93" w:rsidRDefault="00D70E1E" w:rsidP="007020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Від 3 до 12 місяців (включно)</w:t>
            </w:r>
          </w:p>
        </w:tc>
        <w:tc>
          <w:tcPr>
            <w:tcW w:w="1276" w:type="dxa"/>
          </w:tcPr>
          <w:p w:rsidR="00D70E1E" w:rsidRPr="00573B93" w:rsidRDefault="009F2E4A" w:rsidP="00062A4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276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134" w:type="dxa"/>
          </w:tcPr>
          <w:p w:rsidR="00D70E1E" w:rsidRPr="00573B93" w:rsidRDefault="00D70E1E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ні</w:t>
            </w:r>
          </w:p>
        </w:tc>
      </w:tr>
      <w:tr w:rsidR="00D70E1E" w:rsidRPr="00573B93" w:rsidTr="00684E65">
        <w:trPr>
          <w:trHeight w:val="549"/>
        </w:trPr>
        <w:tc>
          <w:tcPr>
            <w:tcW w:w="2683" w:type="dxa"/>
          </w:tcPr>
          <w:p w:rsidR="00D70E1E" w:rsidRPr="00573B93" w:rsidRDefault="00D70E1E" w:rsidP="007020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Від 12 до 24 місяців (включно)</w:t>
            </w:r>
          </w:p>
        </w:tc>
        <w:tc>
          <w:tcPr>
            <w:tcW w:w="1276" w:type="dxa"/>
          </w:tcPr>
          <w:p w:rsidR="00D70E1E" w:rsidRPr="00573B93" w:rsidRDefault="009F2E4A" w:rsidP="00062A4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 кінці строку</w:t>
            </w:r>
          </w:p>
        </w:tc>
        <w:tc>
          <w:tcPr>
            <w:tcW w:w="1276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34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ні</w:t>
            </w:r>
          </w:p>
        </w:tc>
      </w:tr>
      <w:tr w:rsidR="00D70E1E" w:rsidRPr="00573B93" w:rsidTr="00684E65">
        <w:trPr>
          <w:trHeight w:val="560"/>
        </w:trPr>
        <w:tc>
          <w:tcPr>
            <w:tcW w:w="2683" w:type="dxa"/>
          </w:tcPr>
          <w:p w:rsidR="00D70E1E" w:rsidRPr="00573B93" w:rsidRDefault="00684E65" w:rsidP="007020B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Від 24 до 36 місяців (включно)</w:t>
            </w:r>
          </w:p>
        </w:tc>
        <w:tc>
          <w:tcPr>
            <w:tcW w:w="1276" w:type="dxa"/>
          </w:tcPr>
          <w:p w:rsidR="00D70E1E" w:rsidRPr="00573B93" w:rsidRDefault="009F2E4A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</w:t>
            </w:r>
            <w:r w:rsidR="005453A2">
              <w:rPr>
                <w:rFonts w:cstheme="minorHAnsi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276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34" w:type="dxa"/>
          </w:tcPr>
          <w:p w:rsidR="00D70E1E" w:rsidRPr="00573B93" w:rsidRDefault="00684E65" w:rsidP="00AF647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73B93">
              <w:rPr>
                <w:rFonts w:cstheme="minorHAnsi"/>
                <w:sz w:val="24"/>
                <w:szCs w:val="24"/>
                <w:lang w:val="uk-UA"/>
              </w:rPr>
              <w:t>ні</w:t>
            </w:r>
          </w:p>
        </w:tc>
      </w:tr>
    </w:tbl>
    <w:p w:rsidR="007020B8" w:rsidRPr="00573B93" w:rsidRDefault="007020B8" w:rsidP="001F0E45">
      <w:pPr>
        <w:rPr>
          <w:rFonts w:cstheme="minorHAnsi"/>
          <w:sz w:val="24"/>
          <w:szCs w:val="24"/>
          <w:lang w:val="uk-UA"/>
        </w:rPr>
      </w:pPr>
    </w:p>
    <w:p w:rsidR="00AE735C" w:rsidRPr="00573B93" w:rsidRDefault="00AE735C" w:rsidP="001F0E45">
      <w:pPr>
        <w:rPr>
          <w:rFonts w:cstheme="minorHAnsi"/>
          <w:sz w:val="24"/>
          <w:szCs w:val="24"/>
          <w:lang w:val="ru-RU"/>
        </w:rPr>
      </w:pPr>
      <w:r w:rsidRPr="00573B93">
        <w:rPr>
          <w:rFonts w:cstheme="minorHAnsi"/>
          <w:sz w:val="24"/>
          <w:szCs w:val="24"/>
          <w:lang w:val="uk-UA"/>
        </w:rPr>
        <w:t>Мінімальний та максимальний розмір вкладень за окремим</w:t>
      </w:r>
      <w:r w:rsidR="00130C1A" w:rsidRPr="00573B93">
        <w:rPr>
          <w:rFonts w:cstheme="minorHAnsi"/>
          <w:sz w:val="24"/>
          <w:szCs w:val="24"/>
          <w:lang w:val="uk-UA"/>
        </w:rPr>
        <w:t>и видами внесків (вкладів) на деп</w:t>
      </w:r>
      <w:r w:rsidR="00E27EEC" w:rsidRPr="00573B93">
        <w:rPr>
          <w:rFonts w:cstheme="minorHAnsi"/>
          <w:sz w:val="24"/>
          <w:szCs w:val="24"/>
          <w:lang w:val="uk-UA"/>
        </w:rPr>
        <w:t>озитний рахунок становить від  100</w:t>
      </w:r>
      <w:r w:rsidR="00130C1A" w:rsidRPr="00573B93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грн</w:t>
      </w:r>
      <w:proofErr w:type="spellEnd"/>
      <w:r w:rsidR="00130C1A" w:rsidRPr="00573B93">
        <w:rPr>
          <w:rFonts w:cstheme="minorHAnsi"/>
          <w:sz w:val="24"/>
          <w:szCs w:val="24"/>
          <w:lang w:val="uk-UA"/>
        </w:rPr>
        <w:t xml:space="preserve"> (</w:t>
      </w:r>
      <w:r w:rsidR="00062A4A">
        <w:rPr>
          <w:rFonts w:cstheme="minorHAnsi"/>
          <w:sz w:val="24"/>
          <w:szCs w:val="24"/>
          <w:lang w:val="uk-UA"/>
        </w:rPr>
        <w:t>с</w:t>
      </w:r>
      <w:r w:rsidR="00E27EEC" w:rsidRPr="00573B93">
        <w:rPr>
          <w:rFonts w:cstheme="minorHAnsi"/>
          <w:sz w:val="24"/>
          <w:szCs w:val="24"/>
          <w:lang w:val="uk-UA"/>
        </w:rPr>
        <w:t>то</w:t>
      </w:r>
      <w:r w:rsidR="00130C1A" w:rsidRPr="00573B93">
        <w:rPr>
          <w:rFonts w:cstheme="minorHAnsi"/>
          <w:sz w:val="24"/>
          <w:szCs w:val="24"/>
          <w:lang w:val="uk-UA"/>
        </w:rPr>
        <w:t>) гривень до 1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r w:rsidR="00130C1A" w:rsidRPr="00573B93">
        <w:rPr>
          <w:rFonts w:cstheme="minorHAnsi"/>
          <w:sz w:val="24"/>
          <w:szCs w:val="24"/>
          <w:lang w:val="uk-UA"/>
        </w:rPr>
        <w:t>000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000</w:t>
      </w:r>
      <w:proofErr w:type="spellEnd"/>
      <w:r w:rsidR="00130C1A" w:rsidRPr="00573B93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грн</w:t>
      </w:r>
      <w:proofErr w:type="spellEnd"/>
      <w:r w:rsidR="00130C1A" w:rsidRPr="00573B93">
        <w:rPr>
          <w:rFonts w:cstheme="minorHAnsi"/>
          <w:sz w:val="24"/>
          <w:szCs w:val="24"/>
          <w:lang w:val="uk-UA"/>
        </w:rPr>
        <w:t xml:space="preserve"> 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r w:rsidR="00130C1A" w:rsidRPr="00573B93">
        <w:rPr>
          <w:rFonts w:cstheme="minorHAnsi"/>
          <w:sz w:val="24"/>
          <w:szCs w:val="24"/>
          <w:lang w:val="uk-UA"/>
        </w:rPr>
        <w:t>(</w:t>
      </w:r>
      <w:r w:rsidR="00062A4A">
        <w:rPr>
          <w:rFonts w:cstheme="minorHAnsi"/>
          <w:sz w:val="24"/>
          <w:szCs w:val="24"/>
          <w:lang w:val="uk-UA"/>
        </w:rPr>
        <w:t xml:space="preserve"> о</w:t>
      </w:r>
      <w:r w:rsidR="00F96ECC">
        <w:rPr>
          <w:rFonts w:cstheme="minorHAnsi"/>
          <w:sz w:val="24"/>
          <w:szCs w:val="24"/>
          <w:lang w:val="uk-UA"/>
        </w:rPr>
        <w:t xml:space="preserve">дин </w:t>
      </w:r>
      <w:r w:rsidR="00E27EEC" w:rsidRPr="00573B93">
        <w:rPr>
          <w:rFonts w:cstheme="minorHAnsi"/>
          <w:sz w:val="24"/>
          <w:szCs w:val="24"/>
          <w:lang w:val="uk-UA"/>
        </w:rPr>
        <w:t>мільйон</w:t>
      </w:r>
      <w:r w:rsidR="00130C1A" w:rsidRPr="00573B93">
        <w:rPr>
          <w:rFonts w:cstheme="minorHAnsi"/>
          <w:sz w:val="24"/>
          <w:szCs w:val="24"/>
          <w:lang w:val="uk-UA"/>
        </w:rPr>
        <w:t>)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r w:rsidR="00130C1A" w:rsidRPr="00573B93">
        <w:rPr>
          <w:rFonts w:cstheme="minorHAnsi"/>
          <w:sz w:val="24"/>
          <w:szCs w:val="24"/>
          <w:lang w:val="uk-UA"/>
        </w:rPr>
        <w:t xml:space="preserve"> гривень</w:t>
      </w:r>
      <w:r w:rsidR="00E27EEC" w:rsidRPr="00573B93">
        <w:rPr>
          <w:rFonts w:cstheme="minorHAnsi"/>
          <w:sz w:val="24"/>
          <w:szCs w:val="24"/>
          <w:lang w:val="uk-UA"/>
        </w:rPr>
        <w:t xml:space="preserve"> </w:t>
      </w:r>
      <w:r w:rsidR="00130C1A" w:rsidRPr="00573B93">
        <w:rPr>
          <w:rFonts w:cstheme="minorHAnsi"/>
          <w:sz w:val="24"/>
          <w:szCs w:val="24"/>
          <w:lang w:val="uk-UA"/>
        </w:rPr>
        <w:t xml:space="preserve"> для будь якого виду внеску</w:t>
      </w:r>
      <w:r w:rsidR="00E27EEC" w:rsidRPr="00573B93">
        <w:rPr>
          <w:rFonts w:cstheme="minorHAnsi"/>
          <w:sz w:val="24"/>
          <w:szCs w:val="24"/>
          <w:lang w:val="uk-UA"/>
        </w:rPr>
        <w:t xml:space="preserve"> (</w:t>
      </w:r>
      <w:r w:rsidR="00130C1A" w:rsidRPr="00573B93">
        <w:rPr>
          <w:rFonts w:cstheme="minorHAnsi"/>
          <w:sz w:val="24"/>
          <w:szCs w:val="24"/>
          <w:lang w:val="uk-UA"/>
        </w:rPr>
        <w:t xml:space="preserve">вкладу) на депозитний рахунок за умови дотримання вимоги про те, що на початок кожного робочого дня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зобов</w:t>
      </w:r>
      <w:proofErr w:type="spellEnd"/>
      <w:r w:rsidR="00130C1A" w:rsidRPr="00573B93">
        <w:rPr>
          <w:rFonts w:cstheme="minorHAnsi"/>
          <w:sz w:val="24"/>
          <w:szCs w:val="24"/>
          <w:lang w:val="ru-RU"/>
        </w:rPr>
        <w:t>’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язання</w:t>
      </w:r>
      <w:proofErr w:type="spellEnd"/>
      <w:r w:rsidR="00130C1A" w:rsidRPr="00573B93">
        <w:rPr>
          <w:rFonts w:cstheme="minorHAnsi"/>
          <w:sz w:val="24"/>
          <w:szCs w:val="24"/>
          <w:lang w:val="uk-UA"/>
        </w:rPr>
        <w:t xml:space="preserve"> К</w:t>
      </w:r>
      <w:r w:rsidR="00E27EEC" w:rsidRPr="00573B93">
        <w:rPr>
          <w:rFonts w:cstheme="minorHAnsi"/>
          <w:sz w:val="24"/>
          <w:szCs w:val="24"/>
          <w:lang w:val="uk-UA"/>
        </w:rPr>
        <w:t xml:space="preserve">редитної </w:t>
      </w:r>
      <w:r w:rsidR="00130C1A" w:rsidRPr="00573B93">
        <w:rPr>
          <w:rFonts w:cstheme="minorHAnsi"/>
          <w:sz w:val="24"/>
          <w:szCs w:val="24"/>
          <w:lang w:val="uk-UA"/>
        </w:rPr>
        <w:t>С</w:t>
      </w:r>
      <w:r w:rsidR="00E27EEC" w:rsidRPr="00573B93">
        <w:rPr>
          <w:rFonts w:cstheme="minorHAnsi"/>
          <w:sz w:val="24"/>
          <w:szCs w:val="24"/>
          <w:lang w:val="uk-UA"/>
        </w:rPr>
        <w:t>пілки</w:t>
      </w:r>
      <w:r w:rsidR="00130C1A" w:rsidRPr="00573B93">
        <w:rPr>
          <w:rFonts w:cstheme="minorHAnsi"/>
          <w:sz w:val="24"/>
          <w:szCs w:val="24"/>
          <w:lang w:val="uk-UA"/>
        </w:rPr>
        <w:t xml:space="preserve"> перед одним своїм Членом не повинні бути більше 10 </w:t>
      </w:r>
      <w:r w:rsidR="00F96ECC">
        <w:rPr>
          <w:rFonts w:cstheme="minorHAnsi"/>
          <w:sz w:val="24"/>
          <w:szCs w:val="24"/>
          <w:lang w:val="uk-UA"/>
        </w:rPr>
        <w:t>% (</w:t>
      </w:r>
      <w:r w:rsidR="00130C1A" w:rsidRPr="00573B93">
        <w:rPr>
          <w:rFonts w:cstheme="minorHAnsi"/>
          <w:sz w:val="24"/>
          <w:szCs w:val="24"/>
          <w:lang w:val="uk-UA"/>
        </w:rPr>
        <w:t>відсотків</w:t>
      </w:r>
      <w:r w:rsidR="00F96ECC">
        <w:rPr>
          <w:rFonts w:cstheme="minorHAnsi"/>
          <w:sz w:val="24"/>
          <w:szCs w:val="24"/>
          <w:lang w:val="uk-UA"/>
        </w:rPr>
        <w:t>)</w:t>
      </w:r>
      <w:r w:rsidR="00130C1A" w:rsidRPr="00573B93">
        <w:rPr>
          <w:rFonts w:cstheme="minorHAnsi"/>
          <w:sz w:val="24"/>
          <w:szCs w:val="24"/>
          <w:lang w:val="uk-UA"/>
        </w:rPr>
        <w:t xml:space="preserve"> від загальних </w:t>
      </w:r>
      <w:proofErr w:type="spellStart"/>
      <w:r w:rsidR="00130C1A" w:rsidRPr="00573B93">
        <w:rPr>
          <w:rFonts w:cstheme="minorHAnsi"/>
          <w:sz w:val="24"/>
          <w:szCs w:val="24"/>
          <w:lang w:val="uk-UA"/>
        </w:rPr>
        <w:t>зобов</w:t>
      </w:r>
      <w:proofErr w:type="spellEnd"/>
      <w:r w:rsidR="00130C1A" w:rsidRPr="00573B93">
        <w:rPr>
          <w:rFonts w:cstheme="minorHAnsi"/>
          <w:sz w:val="24"/>
          <w:szCs w:val="24"/>
          <w:lang w:val="ru-RU"/>
        </w:rPr>
        <w:t>’</w:t>
      </w:r>
      <w:proofErr w:type="spellStart"/>
      <w:r w:rsidR="002C3367" w:rsidRPr="00573B93">
        <w:rPr>
          <w:rFonts w:cstheme="minorHAnsi"/>
          <w:sz w:val="24"/>
          <w:szCs w:val="24"/>
          <w:lang w:val="ru-RU"/>
        </w:rPr>
        <w:t>язань</w:t>
      </w:r>
      <w:proofErr w:type="spellEnd"/>
      <w:r w:rsidR="002C3367" w:rsidRPr="00573B9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C3367" w:rsidRPr="00573B93">
        <w:rPr>
          <w:rFonts w:cstheme="minorHAnsi"/>
          <w:sz w:val="24"/>
          <w:szCs w:val="24"/>
          <w:lang w:val="ru-RU"/>
        </w:rPr>
        <w:t>К</w:t>
      </w:r>
      <w:r w:rsidR="00E27EEC" w:rsidRPr="00573B93">
        <w:rPr>
          <w:rFonts w:cstheme="minorHAnsi"/>
          <w:sz w:val="24"/>
          <w:szCs w:val="24"/>
          <w:lang w:val="ru-RU"/>
        </w:rPr>
        <w:t>редитнної</w:t>
      </w:r>
      <w:proofErr w:type="spellEnd"/>
      <w:r w:rsidR="00E27EEC" w:rsidRPr="00573B93">
        <w:rPr>
          <w:rFonts w:cstheme="minorHAnsi"/>
          <w:sz w:val="24"/>
          <w:szCs w:val="24"/>
          <w:lang w:val="ru-RU"/>
        </w:rPr>
        <w:t xml:space="preserve">  </w:t>
      </w:r>
      <w:proofErr w:type="spellStart"/>
      <w:r w:rsidR="002C3367" w:rsidRPr="00573B93">
        <w:rPr>
          <w:rFonts w:cstheme="minorHAnsi"/>
          <w:sz w:val="24"/>
          <w:szCs w:val="24"/>
          <w:lang w:val="ru-RU"/>
        </w:rPr>
        <w:t>С</w:t>
      </w:r>
      <w:r w:rsidR="00E27EEC" w:rsidRPr="00573B93">
        <w:rPr>
          <w:rFonts w:cstheme="minorHAnsi"/>
          <w:sz w:val="24"/>
          <w:szCs w:val="24"/>
          <w:lang w:val="ru-RU"/>
        </w:rPr>
        <w:t>пілки</w:t>
      </w:r>
      <w:proofErr w:type="spellEnd"/>
      <w:r w:rsidR="002C3367" w:rsidRPr="00573B93">
        <w:rPr>
          <w:rFonts w:cstheme="minorHAnsi"/>
          <w:sz w:val="24"/>
          <w:szCs w:val="24"/>
          <w:lang w:val="ru-RU"/>
        </w:rPr>
        <w:t>.</w:t>
      </w:r>
    </w:p>
    <w:sectPr w:rsidR="00AE735C" w:rsidRPr="00573B93" w:rsidSect="001F0E45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9941B5"/>
    <w:rsid w:val="00062A4A"/>
    <w:rsid w:val="000A0CDA"/>
    <w:rsid w:val="000B1133"/>
    <w:rsid w:val="00130C1A"/>
    <w:rsid w:val="001F0E45"/>
    <w:rsid w:val="002C3367"/>
    <w:rsid w:val="00355064"/>
    <w:rsid w:val="005453A2"/>
    <w:rsid w:val="0055727F"/>
    <w:rsid w:val="00573B93"/>
    <w:rsid w:val="00684E65"/>
    <w:rsid w:val="00693E80"/>
    <w:rsid w:val="007020B8"/>
    <w:rsid w:val="007878C0"/>
    <w:rsid w:val="0088386A"/>
    <w:rsid w:val="009941B5"/>
    <w:rsid w:val="009F2E4A"/>
    <w:rsid w:val="00A25250"/>
    <w:rsid w:val="00A425C0"/>
    <w:rsid w:val="00AB24E4"/>
    <w:rsid w:val="00AE735C"/>
    <w:rsid w:val="00AF6474"/>
    <w:rsid w:val="00D70E1E"/>
    <w:rsid w:val="00E13C4C"/>
    <w:rsid w:val="00E27EEC"/>
    <w:rsid w:val="00EC58DB"/>
    <w:rsid w:val="00F02BDA"/>
    <w:rsid w:val="00F9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15</cp:revision>
  <cp:lastPrinted>2020-02-05T12:12:00Z</cp:lastPrinted>
  <dcterms:created xsi:type="dcterms:W3CDTF">2020-01-31T08:55:00Z</dcterms:created>
  <dcterms:modified xsi:type="dcterms:W3CDTF">2021-03-10T10:21:00Z</dcterms:modified>
</cp:coreProperties>
</file>